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43207" w14:textId="77777777" w:rsidR="00595E8B" w:rsidRDefault="00595E8B" w:rsidP="00C50CA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6"/>
          <w:szCs w:val="36"/>
        </w:rPr>
      </w:pPr>
      <w:bookmarkStart w:id="0" w:name="_Hlk42679553"/>
    </w:p>
    <w:p w14:paraId="198806CC" w14:textId="6B516D1F" w:rsidR="00C50CA7" w:rsidRPr="00595E8B" w:rsidRDefault="00BA4258" w:rsidP="00C50CA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6"/>
          <w:szCs w:val="36"/>
        </w:rPr>
      </w:pPr>
      <w:r w:rsidRPr="00595E8B">
        <w:rPr>
          <w:rFonts w:cstheme="minorHAnsi"/>
          <w:color w:val="000000"/>
          <w:sz w:val="36"/>
          <w:szCs w:val="36"/>
        </w:rPr>
        <w:t>Domestic Bank Changes</w:t>
      </w:r>
    </w:p>
    <w:p w14:paraId="12799049" w14:textId="77777777" w:rsidR="009E054F" w:rsidRDefault="009E054F" w:rsidP="00C50CA7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color w:val="000000"/>
          <w:sz w:val="40"/>
          <w:szCs w:val="40"/>
        </w:rPr>
      </w:pPr>
    </w:p>
    <w:bookmarkEnd w:id="0"/>
    <w:p w14:paraId="68E1E79B" w14:textId="77777777" w:rsidR="00C50CA7" w:rsidRPr="00BA4258" w:rsidRDefault="00C50CA7" w:rsidP="00C50CA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u w:val="single"/>
        </w:rPr>
      </w:pPr>
      <w:r w:rsidRPr="00BA4258">
        <w:rPr>
          <w:rFonts w:cstheme="minorHAnsi"/>
          <w:b/>
          <w:bCs/>
          <w:color w:val="000000"/>
          <w:u w:val="single"/>
        </w:rPr>
        <w:t>Summary</w:t>
      </w:r>
    </w:p>
    <w:p w14:paraId="3D7F0943" w14:textId="77777777" w:rsidR="00E72675" w:rsidRPr="00BA4258" w:rsidRDefault="00E72675" w:rsidP="00C50CA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</w:p>
    <w:p w14:paraId="2D7D0A95" w14:textId="2F7BCAA3" w:rsidR="002E6F92" w:rsidRDefault="00595E8B" w:rsidP="00BA4258">
      <w:pPr>
        <w:rPr>
          <w:rFonts w:cstheme="minorHAnsi"/>
        </w:rPr>
      </w:pPr>
      <w:r>
        <w:rPr>
          <w:rFonts w:cstheme="minorHAnsi"/>
        </w:rPr>
        <w:t xml:space="preserve">Process to validate domestic vendor banking changes </w:t>
      </w:r>
      <w:r w:rsidR="002918E4">
        <w:rPr>
          <w:rFonts w:cstheme="minorHAnsi"/>
        </w:rPr>
        <w:t>consistent with</w:t>
      </w:r>
      <w:r>
        <w:rPr>
          <w:rFonts w:cstheme="minorHAnsi"/>
        </w:rPr>
        <w:t xml:space="preserve"> requirements needed to change Asian bank information. This process will be required for all domestic banking changes without exception. </w:t>
      </w:r>
    </w:p>
    <w:p w14:paraId="75C41157" w14:textId="76FAC43E" w:rsidR="00DE1555" w:rsidRDefault="00DE1555" w:rsidP="00DE1555">
      <w:pPr>
        <w:rPr>
          <w:rFonts w:cstheme="minorHAnsi"/>
        </w:rPr>
      </w:pPr>
      <w:r>
        <w:rPr>
          <w:rFonts w:cstheme="minorHAnsi"/>
        </w:rPr>
        <w:t xml:space="preserve">Process for setting up </w:t>
      </w:r>
      <w:r w:rsidRPr="00DE1555">
        <w:rPr>
          <w:rFonts w:cstheme="minorHAnsi"/>
          <w:b/>
          <w:bCs/>
        </w:rPr>
        <w:t>New</w:t>
      </w:r>
      <w:r w:rsidR="007F0020">
        <w:rPr>
          <w:rFonts w:cstheme="minorHAnsi"/>
          <w:b/>
          <w:bCs/>
        </w:rPr>
        <w:t xml:space="preserve"> or Updated</w:t>
      </w:r>
      <w:r>
        <w:rPr>
          <w:rFonts w:cstheme="minorHAnsi"/>
        </w:rPr>
        <w:t xml:space="preserve"> ACH </w:t>
      </w:r>
      <w:r w:rsidR="007F0020">
        <w:rPr>
          <w:rFonts w:cstheme="minorHAnsi"/>
        </w:rPr>
        <w:t>information:</w:t>
      </w:r>
      <w:r>
        <w:rPr>
          <w:rFonts w:cstheme="minorHAnsi"/>
        </w:rPr>
        <w:t xml:space="preserve"> </w:t>
      </w:r>
    </w:p>
    <w:p w14:paraId="4BBA11B1" w14:textId="0D4786F9" w:rsidR="00DE1555" w:rsidRDefault="00DE1555" w:rsidP="00E86200">
      <w:pPr>
        <w:pStyle w:val="ListParagraph"/>
        <w:numPr>
          <w:ilvl w:val="0"/>
          <w:numId w:val="4"/>
        </w:numPr>
        <w:spacing w:line="360" w:lineRule="auto"/>
        <w:rPr>
          <w:rFonts w:cstheme="minorHAnsi"/>
        </w:rPr>
      </w:pPr>
      <w:r>
        <w:rPr>
          <w:rFonts w:cstheme="minorHAnsi"/>
        </w:rPr>
        <w:t>All vendor changes involving banking setups must go through the Dartboard</w:t>
      </w:r>
      <w:r w:rsidR="00E91F70">
        <w:rPr>
          <w:rFonts w:cstheme="minorHAnsi"/>
        </w:rPr>
        <w:t>.</w:t>
      </w:r>
    </w:p>
    <w:p w14:paraId="21A6C5DB" w14:textId="34578618" w:rsidR="00E91F70" w:rsidRDefault="00E91F70" w:rsidP="00E86200">
      <w:pPr>
        <w:pStyle w:val="ListParagraph"/>
        <w:numPr>
          <w:ilvl w:val="0"/>
          <w:numId w:val="4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The Domestic Bank </w:t>
      </w:r>
      <w:r w:rsidR="007F0020">
        <w:rPr>
          <w:rFonts w:cstheme="minorHAnsi"/>
        </w:rPr>
        <w:t>Request</w:t>
      </w:r>
      <w:r>
        <w:rPr>
          <w:rFonts w:cstheme="minorHAnsi"/>
        </w:rPr>
        <w:t xml:space="preserve"> will be the only form accepted to add new</w:t>
      </w:r>
      <w:r w:rsidR="007F0020">
        <w:rPr>
          <w:rFonts w:cstheme="minorHAnsi"/>
        </w:rPr>
        <w:t xml:space="preserve"> or change</w:t>
      </w:r>
      <w:r>
        <w:rPr>
          <w:rFonts w:cstheme="minorHAnsi"/>
        </w:rPr>
        <w:t xml:space="preserve"> banking</w:t>
      </w:r>
      <w:r w:rsidR="00E86200">
        <w:rPr>
          <w:rFonts w:cstheme="minorHAnsi"/>
        </w:rPr>
        <w:t>.</w:t>
      </w:r>
      <w:r>
        <w:rPr>
          <w:rFonts w:cstheme="minorHAnsi"/>
        </w:rPr>
        <w:t xml:space="preserve"> All fields must be completed with proper approvals for</w:t>
      </w:r>
      <w:r w:rsidR="007F0020">
        <w:rPr>
          <w:rFonts w:cstheme="minorHAnsi"/>
        </w:rPr>
        <w:t xml:space="preserve"> the</w:t>
      </w:r>
      <w:r>
        <w:rPr>
          <w:rFonts w:cstheme="minorHAnsi"/>
        </w:rPr>
        <w:t xml:space="preserve"> form to be accepted. </w:t>
      </w:r>
    </w:p>
    <w:p w14:paraId="654C80A1" w14:textId="7FACF9EC" w:rsidR="00E86200" w:rsidRDefault="00E86200" w:rsidP="00E86200">
      <w:pPr>
        <w:pStyle w:val="ListParagraph"/>
        <w:numPr>
          <w:ilvl w:val="0"/>
          <w:numId w:val="4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Vendor Master will notify AP of </w:t>
      </w:r>
      <w:r w:rsidR="007F0020">
        <w:rPr>
          <w:rFonts w:cstheme="minorHAnsi"/>
        </w:rPr>
        <w:t xml:space="preserve">the </w:t>
      </w:r>
      <w:r>
        <w:rPr>
          <w:rFonts w:cstheme="minorHAnsi"/>
        </w:rPr>
        <w:t>new banking request. The</w:t>
      </w:r>
      <w:r w:rsidR="00AC6FA9">
        <w:rPr>
          <w:rFonts w:cstheme="minorHAnsi"/>
        </w:rPr>
        <w:t xml:space="preserve"> bank</w:t>
      </w:r>
      <w:r>
        <w:rPr>
          <w:rFonts w:cstheme="minorHAnsi"/>
        </w:rPr>
        <w:t xml:space="preserve"> verification </w:t>
      </w:r>
      <w:r w:rsidR="007F0020">
        <w:rPr>
          <w:rFonts w:cstheme="minorHAnsi"/>
        </w:rPr>
        <w:t>will</w:t>
      </w:r>
      <w:r w:rsidR="006D2E8F">
        <w:rPr>
          <w:rFonts w:cstheme="minorHAnsi"/>
        </w:rPr>
        <w:t xml:space="preserve"> need to go through the following 2 step verification process a</w:t>
      </w:r>
      <w:r>
        <w:rPr>
          <w:rFonts w:cstheme="minorHAnsi"/>
        </w:rPr>
        <w:t>fter receipt of the completed change notice:</w:t>
      </w:r>
    </w:p>
    <w:p w14:paraId="39646D9C" w14:textId="393A3A5A" w:rsidR="00E86200" w:rsidRDefault="00E86200" w:rsidP="00E86200">
      <w:pPr>
        <w:pStyle w:val="ListParagraph"/>
        <w:numPr>
          <w:ilvl w:val="1"/>
          <w:numId w:val="4"/>
        </w:numPr>
        <w:spacing w:line="360" w:lineRule="auto"/>
        <w:rPr>
          <w:rFonts w:cstheme="minorHAnsi"/>
        </w:rPr>
      </w:pPr>
      <w:r>
        <w:rPr>
          <w:rFonts w:cstheme="minorHAnsi"/>
        </w:rPr>
        <w:t>AP calls vendor</w:t>
      </w:r>
      <w:r w:rsidR="007F0020">
        <w:rPr>
          <w:rFonts w:cstheme="minorHAnsi"/>
        </w:rPr>
        <w:t>’s</w:t>
      </w:r>
      <w:r w:rsidR="00AC6FA9">
        <w:rPr>
          <w:rFonts w:cstheme="minorHAnsi"/>
        </w:rPr>
        <w:t xml:space="preserve"> finance department</w:t>
      </w:r>
      <w:r>
        <w:rPr>
          <w:rFonts w:cstheme="minorHAnsi"/>
        </w:rPr>
        <w:t xml:space="preserve"> to confirm banking information and request a copy of a cancelled or voided check from the account listed on the form. </w:t>
      </w:r>
      <w:r w:rsidR="00AC6FA9">
        <w:rPr>
          <w:rFonts w:cstheme="minorHAnsi"/>
        </w:rPr>
        <w:t xml:space="preserve">A bank statement listing the full account </w:t>
      </w:r>
      <w:r w:rsidR="007F0020">
        <w:rPr>
          <w:rFonts w:cstheme="minorHAnsi"/>
        </w:rPr>
        <w:t>detail</w:t>
      </w:r>
      <w:r w:rsidR="00AC6FA9">
        <w:rPr>
          <w:rFonts w:cstheme="minorHAnsi"/>
        </w:rPr>
        <w:t xml:space="preserve"> is acceptable as well. </w:t>
      </w:r>
      <w:r w:rsidR="002918E4">
        <w:rPr>
          <w:rFonts w:cstheme="minorHAnsi"/>
        </w:rPr>
        <w:t xml:space="preserve">The </w:t>
      </w:r>
      <w:r w:rsidR="00BC6FC1">
        <w:rPr>
          <w:rFonts w:cstheme="minorHAnsi"/>
        </w:rPr>
        <w:t>vendor’s</w:t>
      </w:r>
      <w:r w:rsidR="002918E4">
        <w:rPr>
          <w:rFonts w:cstheme="minorHAnsi"/>
        </w:rPr>
        <w:t xml:space="preserve"> name must match exactly. </w:t>
      </w:r>
      <w:r w:rsidR="00BC6FC1">
        <w:rPr>
          <w:rFonts w:cstheme="minorHAnsi"/>
        </w:rPr>
        <w:t>*</w:t>
      </w:r>
      <w:r w:rsidR="002918E4">
        <w:rPr>
          <w:rFonts w:cstheme="minorHAnsi"/>
        </w:rPr>
        <w:t xml:space="preserve">Example: Check lists company </w:t>
      </w:r>
      <w:r w:rsidR="00BC6FC1">
        <w:rPr>
          <w:rFonts w:cstheme="minorHAnsi"/>
        </w:rPr>
        <w:t>name as Gardner Bender while the beneficiary’s name on the form is GB. This would not be acceptable.</w:t>
      </w:r>
    </w:p>
    <w:p w14:paraId="2DE0DAA5" w14:textId="7D96A169" w:rsidR="00AC6FA9" w:rsidRDefault="00AC6FA9" w:rsidP="00AC6FA9">
      <w:pPr>
        <w:pStyle w:val="ListParagraph"/>
        <w:spacing w:line="360" w:lineRule="auto"/>
        <w:ind w:left="1440"/>
        <w:jc w:val="center"/>
        <w:rPr>
          <w:rFonts w:cstheme="minorHAnsi"/>
          <w:b/>
          <w:bCs/>
        </w:rPr>
      </w:pPr>
      <w:r w:rsidRPr="00AC6FA9">
        <w:rPr>
          <w:rFonts w:cstheme="minorHAnsi"/>
          <w:b/>
          <w:bCs/>
        </w:rPr>
        <w:t>--------------------</w:t>
      </w:r>
      <w:r w:rsidR="006D2E8F">
        <w:rPr>
          <w:rFonts w:cstheme="minorHAnsi"/>
          <w:b/>
          <w:bCs/>
        </w:rPr>
        <w:t>and</w:t>
      </w:r>
      <w:r w:rsidRPr="00AC6FA9">
        <w:rPr>
          <w:rFonts w:cstheme="minorHAnsi"/>
          <w:b/>
          <w:bCs/>
        </w:rPr>
        <w:t>--------------------</w:t>
      </w:r>
    </w:p>
    <w:p w14:paraId="3EBC05C8" w14:textId="1E722A21" w:rsidR="00AC6FA9" w:rsidRDefault="00AC6FA9" w:rsidP="00AC6FA9">
      <w:pPr>
        <w:pStyle w:val="ListParagraph"/>
        <w:numPr>
          <w:ilvl w:val="1"/>
          <w:numId w:val="4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A member of the ECM Ops Team must call the vendor </w:t>
      </w:r>
      <w:r w:rsidR="002918E4">
        <w:rPr>
          <w:rFonts w:cstheme="minorHAnsi"/>
        </w:rPr>
        <w:t>for a second verification of the banking information. The second verification cannot come from the same person who completed the original form</w:t>
      </w:r>
      <w:r>
        <w:rPr>
          <w:rFonts w:cstheme="minorHAnsi"/>
        </w:rPr>
        <w:t xml:space="preserve">. Once confirmed the ECM employee must complete the Authorized ECM Representative </w:t>
      </w:r>
      <w:r w:rsidR="009B5F7C">
        <w:rPr>
          <w:rFonts w:cstheme="minorHAnsi"/>
        </w:rPr>
        <w:t>section</w:t>
      </w:r>
      <w:r>
        <w:rPr>
          <w:rFonts w:cstheme="minorHAnsi"/>
        </w:rPr>
        <w:t xml:space="preserve"> of the form</w:t>
      </w:r>
      <w:r w:rsidR="00BC6FC1">
        <w:rPr>
          <w:rFonts w:cstheme="minorHAnsi"/>
        </w:rPr>
        <w:t xml:space="preserve"> and return to AP</w:t>
      </w:r>
      <w:r>
        <w:rPr>
          <w:rFonts w:cstheme="minorHAnsi"/>
        </w:rPr>
        <w:t>.</w:t>
      </w:r>
    </w:p>
    <w:p w14:paraId="296F3DE2" w14:textId="26890242" w:rsidR="002918E4" w:rsidRDefault="00BC6FC1" w:rsidP="002918E4">
      <w:pPr>
        <w:pStyle w:val="ListParagraph"/>
        <w:numPr>
          <w:ilvl w:val="0"/>
          <w:numId w:val="4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AP </w:t>
      </w:r>
      <w:r w:rsidR="009B5F7C">
        <w:rPr>
          <w:rFonts w:cstheme="minorHAnsi"/>
        </w:rPr>
        <w:t xml:space="preserve">will review and </w:t>
      </w:r>
      <w:r>
        <w:rPr>
          <w:rFonts w:cstheme="minorHAnsi"/>
        </w:rPr>
        <w:t xml:space="preserve">then send the confirmed information to Vendor Master to complete the change in Oracle. </w:t>
      </w:r>
    </w:p>
    <w:p w14:paraId="54FA9E57" w14:textId="1FC7B0D0" w:rsidR="00BC6FC1" w:rsidRDefault="00BC6FC1" w:rsidP="002918E4">
      <w:pPr>
        <w:pStyle w:val="ListParagraph"/>
        <w:numPr>
          <w:ilvl w:val="0"/>
          <w:numId w:val="4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AP will also track all banking requests on a spreadsheet consistent with what is done with the Asian templates. </w:t>
      </w:r>
      <w:r w:rsidR="003E686D">
        <w:rPr>
          <w:rFonts w:cstheme="minorHAnsi"/>
        </w:rPr>
        <w:t xml:space="preserve">The spreadsheet is located: </w:t>
      </w:r>
      <w:r w:rsidR="003E686D" w:rsidRPr="003E686D">
        <w:rPr>
          <w:rFonts w:cstheme="minorHAnsi"/>
        </w:rPr>
        <w:t>P:\Finance\AP and Basware\AP Shared Services\Domestic Vendor Changes</w:t>
      </w:r>
    </w:p>
    <w:p w14:paraId="79178CC0" w14:textId="3EF914D8" w:rsidR="00BC6FC1" w:rsidRDefault="00BC6FC1" w:rsidP="002918E4">
      <w:pPr>
        <w:pStyle w:val="ListParagraph"/>
        <w:numPr>
          <w:ilvl w:val="0"/>
          <w:numId w:val="4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A copy of the cancelled check and/or Change Notice will be saved in the same location where the spreadsheet lives. </w:t>
      </w:r>
    </w:p>
    <w:p w14:paraId="74A1848C" w14:textId="26B19ADE" w:rsidR="00BC6FC1" w:rsidRPr="00AC6FA9" w:rsidRDefault="00BC6FC1" w:rsidP="002918E4">
      <w:pPr>
        <w:pStyle w:val="ListParagraph"/>
        <w:numPr>
          <w:ilvl w:val="0"/>
          <w:numId w:val="4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ECM will also limit bank changes to no more than 2 per </w:t>
      </w:r>
      <w:r w:rsidR="009B5F7C">
        <w:rPr>
          <w:rFonts w:cstheme="minorHAnsi"/>
        </w:rPr>
        <w:t>12-month</w:t>
      </w:r>
      <w:r>
        <w:rPr>
          <w:rFonts w:cstheme="minorHAnsi"/>
        </w:rPr>
        <w:t xml:space="preserve"> period. </w:t>
      </w:r>
    </w:p>
    <w:p w14:paraId="202CCD5C" w14:textId="77777777" w:rsidR="00595E8B" w:rsidRPr="00BA4258" w:rsidRDefault="00595E8B" w:rsidP="00BA4258">
      <w:pPr>
        <w:rPr>
          <w:rFonts w:cstheme="minorHAnsi"/>
        </w:rPr>
      </w:pPr>
    </w:p>
    <w:sectPr w:rsidR="00595E8B" w:rsidRPr="00BA4258" w:rsidSect="00CF13F1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5EC11" w14:textId="77777777" w:rsidR="002E4AEF" w:rsidRDefault="002E4AEF" w:rsidP="002E4AEF">
      <w:pPr>
        <w:spacing w:after="0" w:line="240" w:lineRule="auto"/>
      </w:pPr>
      <w:r>
        <w:separator/>
      </w:r>
    </w:p>
  </w:endnote>
  <w:endnote w:type="continuationSeparator" w:id="0">
    <w:p w14:paraId="0358CB49" w14:textId="77777777" w:rsidR="002E4AEF" w:rsidRDefault="002E4AEF" w:rsidP="002E4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B2AE1" w14:textId="77777777" w:rsidR="002E4AEF" w:rsidRDefault="002E4AEF" w:rsidP="002E4AEF">
      <w:pPr>
        <w:spacing w:after="0" w:line="240" w:lineRule="auto"/>
      </w:pPr>
      <w:r>
        <w:separator/>
      </w:r>
    </w:p>
  </w:footnote>
  <w:footnote w:type="continuationSeparator" w:id="0">
    <w:p w14:paraId="179F3081" w14:textId="77777777" w:rsidR="002E4AEF" w:rsidRDefault="002E4AEF" w:rsidP="002E4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59A51" w14:textId="5F02F845" w:rsidR="002E4AEF" w:rsidRDefault="002E4AEF">
    <w:pPr>
      <w:pStyle w:val="Header"/>
    </w:pPr>
    <w:r>
      <w:rPr>
        <w:noProof/>
      </w:rPr>
      <w:drawing>
        <wp:anchor distT="0" distB="0" distL="114300" distR="114300" simplePos="0" relativeHeight="251654144" behindDoc="0" locked="0" layoutInCell="1" allowOverlap="1" wp14:anchorId="0FFB581E" wp14:editId="08FCFF80">
          <wp:simplePos x="0" y="0"/>
          <wp:positionH relativeFrom="column">
            <wp:posOffset>0</wp:posOffset>
          </wp:positionH>
          <wp:positionV relativeFrom="paragraph">
            <wp:posOffset>-335280</wp:posOffset>
          </wp:positionV>
          <wp:extent cx="2497455" cy="398780"/>
          <wp:effectExtent l="0" t="0" r="0" b="1270"/>
          <wp:wrapNone/>
          <wp:docPr id="4" name="Pictur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" r="3438" b="3438"/>
                  <a:stretch>
                    <a:fillRect/>
                  </a:stretch>
                </pic:blipFill>
                <pic:spPr bwMode="auto">
                  <a:xfrm>
                    <a:off x="0" y="0"/>
                    <a:ext cx="2497455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956AC"/>
    <w:multiLevelType w:val="hybridMultilevel"/>
    <w:tmpl w:val="73CE0E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C4551B9"/>
    <w:multiLevelType w:val="hybridMultilevel"/>
    <w:tmpl w:val="E02CA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62105"/>
    <w:multiLevelType w:val="hybridMultilevel"/>
    <w:tmpl w:val="E5382F8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59F0057B"/>
    <w:multiLevelType w:val="hybridMultilevel"/>
    <w:tmpl w:val="CBDE8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956CD"/>
    <w:multiLevelType w:val="hybridMultilevel"/>
    <w:tmpl w:val="9A46E8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A018D2"/>
    <w:multiLevelType w:val="hybridMultilevel"/>
    <w:tmpl w:val="7C089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E157F4"/>
    <w:multiLevelType w:val="hybridMultilevel"/>
    <w:tmpl w:val="01488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CA7"/>
    <w:rsid w:val="001343BC"/>
    <w:rsid w:val="001409B0"/>
    <w:rsid w:val="001C2218"/>
    <w:rsid w:val="002918E4"/>
    <w:rsid w:val="002E4AEF"/>
    <w:rsid w:val="002E6F92"/>
    <w:rsid w:val="00344D1C"/>
    <w:rsid w:val="00363DDA"/>
    <w:rsid w:val="003E13D6"/>
    <w:rsid w:val="003E686D"/>
    <w:rsid w:val="0046314B"/>
    <w:rsid w:val="00584354"/>
    <w:rsid w:val="00595E8B"/>
    <w:rsid w:val="00603752"/>
    <w:rsid w:val="006B4D87"/>
    <w:rsid w:val="006D2E8F"/>
    <w:rsid w:val="00705010"/>
    <w:rsid w:val="007F0020"/>
    <w:rsid w:val="00876098"/>
    <w:rsid w:val="0091370C"/>
    <w:rsid w:val="009B5F7C"/>
    <w:rsid w:val="009E054F"/>
    <w:rsid w:val="00A30F09"/>
    <w:rsid w:val="00AC6FA9"/>
    <w:rsid w:val="00BA4258"/>
    <w:rsid w:val="00BC6FC1"/>
    <w:rsid w:val="00C50CA7"/>
    <w:rsid w:val="00CB73F3"/>
    <w:rsid w:val="00CF13F1"/>
    <w:rsid w:val="00D61D08"/>
    <w:rsid w:val="00DA2AFB"/>
    <w:rsid w:val="00DE1555"/>
    <w:rsid w:val="00E06480"/>
    <w:rsid w:val="00E16B42"/>
    <w:rsid w:val="00E72675"/>
    <w:rsid w:val="00E86200"/>
    <w:rsid w:val="00E91F70"/>
    <w:rsid w:val="00F31E3E"/>
    <w:rsid w:val="00F808DC"/>
    <w:rsid w:val="00FF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3C1605B"/>
  <w15:docId w15:val="{E9AA593C-50D9-4F7F-81D5-AFC7C1B01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0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CA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50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37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4AEF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E4AEF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E4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Actuant Corporation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Glowacki, Ann</dc:creator>
  <cp:lastModifiedBy>Skinkis, Mandie</cp:lastModifiedBy>
  <cp:revision>2</cp:revision>
  <dcterms:created xsi:type="dcterms:W3CDTF">2022-03-03T19:49:00Z</dcterms:created>
  <dcterms:modified xsi:type="dcterms:W3CDTF">2022-03-03T19:49:00Z</dcterms:modified>
</cp:coreProperties>
</file>